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阳高县石油天然气管道建设和保护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事故响应条件</w:t>
      </w:r>
    </w:p>
    <w:tbl>
      <w:tblPr>
        <w:tblStyle w:val="6"/>
        <w:tblpPr w:leftFromText="180" w:rightFromText="180" w:vertAnchor="text" w:horzAnchor="page" w:tblpX="1746" w:tblpY="34"/>
        <w:tblOverlap w:val="never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74"/>
        <w:gridCol w:w="2727"/>
        <w:gridCol w:w="235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3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/>
              <w:jc w:val="center"/>
              <w:rPr>
                <w:rFonts w:hint="eastAsia" w:ascii="黑体" w:hAnsi="黑体" w:eastAsia="黑体" w:cs="黑体"/>
                <w:color w:val="33333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</w:rPr>
              <w:t>一级响应</w:t>
            </w:r>
          </w:p>
        </w:tc>
        <w:tc>
          <w:tcPr>
            <w:tcW w:w="27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/>
              <w:jc w:val="center"/>
              <w:rPr>
                <w:rFonts w:hint="eastAsia" w:ascii="黑体" w:hAnsi="黑体" w:eastAsia="黑体" w:cs="黑体"/>
                <w:color w:val="33333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</w:rPr>
              <w:t>二级响应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/>
              <w:jc w:val="center"/>
              <w:rPr>
                <w:rFonts w:hint="eastAsia" w:ascii="黑体" w:hAnsi="黑体" w:eastAsia="黑体" w:cs="黑体"/>
                <w:color w:val="33333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</w:rPr>
              <w:t>三级响应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6" w:hRule="atLeast"/>
          <w:jc w:val="center"/>
        </w:trPr>
        <w:tc>
          <w:tcPr>
            <w:tcW w:w="3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符合下列条件之一的启动一级响应：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（1）发生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人死亡，或者10人以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下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人以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上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重伤，或者1000万元以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下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500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万元以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上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直接经济损失的事故；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（2）造成管道设施损坏，设计压力4MPa以上管道泄漏、停输24小时以上；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（3）县指挥部认为需要启动一级响应的情形。</w:t>
            </w:r>
          </w:p>
        </w:tc>
        <w:tc>
          <w:tcPr>
            <w:tcW w:w="27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符合下列条件之一的启动二级响应：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（1）发生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人死亡，或者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人以下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以上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重伤，或者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500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万元以下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00万元以上直接经济损失的事故；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（2）造成管道设施损坏，设计压力4MPa以上管道停输12小时以上，24小时以下；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（3）县指挥部认为需要启动二级响应的情形。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符合下列条件之一的启动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级响应：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（1）发生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人以下重伤，或者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00万元以下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直接经济损失的事故；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（2）造成管道设施损坏，设计压力4MPa以上管道停输12小时以下；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（3）县指挥部认为需要启动三级响应的情形。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84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tabs>
                <w:tab w:val="left" w:pos="351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（上述所称“以上”包括本数、“以下”不包括本数）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BF751A"/>
    <w:rsid w:val="67FB01B8"/>
    <w:rsid w:val="6FFEAF10"/>
    <w:rsid w:val="7FAB87DD"/>
    <w:rsid w:val="CDC7203E"/>
    <w:rsid w:val="FAEB9A10"/>
    <w:rsid w:val="FDBF751A"/>
    <w:rsid w:val="FDFE2AA9"/>
    <w:rsid w:val="FF3EB0DF"/>
    <w:rsid w:val="FFD9F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签发人"/>
    <w:basedOn w:val="1"/>
    <w:qFormat/>
    <w:uiPriority w:val="0"/>
    <w:rPr>
      <w:rFonts w:eastAsia="楷体"/>
      <w:kern w:val="0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2025-08-02T00:53:00Z</dcterms:created>
  <dc:creator>baixin</dc:creator>
  <cp:lastModifiedBy>baixin</cp:lastModifiedBy>
  <dcterms:modified xsi:type="dcterms:W3CDTF">2025-08-01T17:02:12Z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5CDBF42ED2B147A48F808C68DD8CB02E</vt:lpwstr>
  </property>
</Properties>
</file>