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1" w:line="232" w:lineRule="auto"/>
        <w:ind w:left="170"/>
        <w:textAlignment w:val="baseline"/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0"/>
          <w:w w:val="100"/>
          <w:position w:val="0"/>
          <w:sz w:val="32"/>
          <w:szCs w:val="32"/>
          <w:lang w:eastAsia="zh-CN"/>
        </w:rPr>
        <w:t>件三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81" w:line="226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</w:rPr>
        <w:t>突发事件应急保障工作牵头协调部门和支持部门</w:t>
      </w:r>
    </w:p>
    <w:tbl>
      <w:tblPr>
        <w:tblStyle w:val="5"/>
        <w:tblW w:w="142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3273"/>
        <w:gridCol w:w="3444"/>
        <w:gridCol w:w="61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应急保障措施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主要牵头部门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专项指挥机构组成部门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交通运输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交通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运输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公安局交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管大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队、武警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中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队、铁路部门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医学救援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县卫生健康和体育局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县发展和改革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市场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监督管理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局、红十字会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能源供应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能源局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default"/>
                <w:spacing w:val="0"/>
                <w:w w:val="100"/>
                <w:position w:val="0"/>
                <w:sz w:val="20"/>
                <w:szCs w:val="20"/>
                <w:lang w:val="en-US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县发展和改革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局、县工业和信息化局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通信保障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交通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运输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局、移动、电信、联通等单位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环境监测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市生态环境局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阳高分局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自然资源局、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县卫生健康和体育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现场信息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自然资源局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应急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管理局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交通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运输局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县住房和城乡建设管理局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、能源局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抢险救援物资装备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应急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县发展和改革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县工业和信息化局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default" w:eastAsia="宋体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县工业和信息化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水务局、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自然资源局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气象服务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气象局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应急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管理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消防救援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大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6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群众生活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应急管理局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县发展和改革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财政局、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农业农村局、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县工业和信息化局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县卫生健康和体育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6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社会秩序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武警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中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新闻保障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委宣传部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委网信办、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新闻中心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勤务保障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突发事件主要牵头部门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公安局、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eastAsia="zh-CN"/>
              </w:rPr>
              <w:t>县卫生健康和体育</w:t>
            </w: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32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专家保障</w:t>
            </w:r>
          </w:p>
        </w:tc>
        <w:tc>
          <w:tcPr>
            <w:tcW w:w="3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突发事件主要牵头部门</w:t>
            </w:r>
          </w:p>
        </w:tc>
        <w:tc>
          <w:tcPr>
            <w:tcW w:w="61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县教育科技局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FF3A1F"/>
    <w:rsid w:val="B6FF3A1F"/>
    <w:rsid w:val="FFD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2024-01-06T11:51:00Z</dcterms:created>
  <dc:creator>baixin</dc:creator>
  <cp:lastModifiedBy>baixin</cp:lastModifiedBy>
  <dcterms:modified xsi:type="dcterms:W3CDTF">2024-01-06T11:57:09Z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